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EFA1A" w14:textId="2AE52106" w:rsidR="004D217D" w:rsidRDefault="005665ED" w:rsidP="005665ED">
      <w:pPr>
        <w:jc w:val="center"/>
        <w:rPr>
          <w:rFonts w:ascii="Times New Roman" w:hAnsi="Times New Roman" w:cs="Times New Roman"/>
        </w:rPr>
      </w:pPr>
      <w:r w:rsidRPr="005665ED">
        <w:rPr>
          <w:rFonts w:ascii="Times New Roman" w:hAnsi="Times New Roman" w:cs="Times New Roman"/>
        </w:rPr>
        <w:t>Annex</w:t>
      </w:r>
      <w:r w:rsidR="006B4E3F">
        <w:rPr>
          <w:rFonts w:ascii="Times New Roman" w:hAnsi="Times New Roman" w:cs="Times New Roman"/>
        </w:rPr>
        <w:t xml:space="preserve"> </w:t>
      </w:r>
      <w:r w:rsidR="00230276">
        <w:rPr>
          <w:rFonts w:ascii="Times New Roman" w:hAnsi="Times New Roman" w:cs="Times New Roman"/>
        </w:rPr>
        <w:t>D</w:t>
      </w:r>
    </w:p>
    <w:p w14:paraId="35E40759" w14:textId="77777777" w:rsidR="00230276" w:rsidRDefault="00230276" w:rsidP="005665ED">
      <w:pPr>
        <w:jc w:val="center"/>
        <w:rPr>
          <w:rFonts w:ascii="Times New Roman" w:hAnsi="Times New Roman" w:cs="Times New Roman"/>
          <w:u w:val="single"/>
        </w:rPr>
      </w:pPr>
    </w:p>
    <w:p w14:paraId="3330B946" w14:textId="42435CBF" w:rsidR="00230276" w:rsidRPr="00230276" w:rsidRDefault="00230276" w:rsidP="005665ED">
      <w:pPr>
        <w:jc w:val="center"/>
        <w:rPr>
          <w:rFonts w:ascii="Times New Roman" w:hAnsi="Times New Roman" w:cs="Times New Roman"/>
          <w:u w:val="single"/>
        </w:rPr>
      </w:pPr>
      <w:r w:rsidRPr="00230276">
        <w:rPr>
          <w:rFonts w:ascii="Times New Roman" w:hAnsi="Times New Roman" w:cs="Times New Roman"/>
          <w:u w:val="single"/>
        </w:rPr>
        <w:t xml:space="preserve">Excessive Use of Force by Police Cases </w:t>
      </w:r>
      <w:r>
        <w:rPr>
          <w:rFonts w:ascii="Times New Roman" w:hAnsi="Times New Roman" w:cs="Times New Roman"/>
          <w:u w:val="single"/>
        </w:rPr>
        <w:t xml:space="preserve">Specifically </w:t>
      </w:r>
      <w:r w:rsidRPr="00230276">
        <w:rPr>
          <w:rFonts w:ascii="Times New Roman" w:hAnsi="Times New Roman" w:cs="Times New Roman"/>
          <w:u w:val="single"/>
        </w:rPr>
        <w:t>Referenced by the Committee</w:t>
      </w:r>
    </w:p>
    <w:p w14:paraId="4A119AC4" w14:textId="77777777" w:rsidR="00C62846" w:rsidRDefault="00C62846" w:rsidP="00C62846">
      <w:pPr>
        <w:spacing w:line="360" w:lineRule="auto"/>
        <w:ind w:left="900" w:hanging="900"/>
        <w:jc w:val="center"/>
        <w:rPr>
          <w:rFonts w:ascii="Times New Roman" w:eastAsia="Times New Roman" w:hAnsi="Times New Roman" w:cs="Times New Roman"/>
          <w:sz w:val="20"/>
          <w:szCs w:val="20"/>
          <w:u w:val="single"/>
        </w:rPr>
      </w:pPr>
    </w:p>
    <w:p w14:paraId="2A0C80F1" w14:textId="77777777" w:rsidR="00230276" w:rsidRPr="00F505C5"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F505C5">
        <w:rPr>
          <w:rFonts w:ascii="Times New Roman" w:eastAsia="Times New Roman" w:hAnsi="Times New Roman" w:cs="Times New Roman"/>
          <w:bCs/>
          <w:sz w:val="20"/>
          <w:szCs w:val="20"/>
        </w:rPr>
        <w:t>In the case of Philando Castile, the St. Anthony, Minnesota police officer was charged and tried in Minnesota state court, where he was found not guilty of second-degree manslaughter and two counts of intentional discharge of a firearm that endangers safety. The officer was voluntarily separated from the police department. The City of St. Anthony reached separate settlements with Castile’s family and girlfriend.</w:t>
      </w:r>
    </w:p>
    <w:p w14:paraId="3CBB681B" w14:textId="77777777" w:rsidR="00230276" w:rsidRPr="00702FEF"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F505C5">
        <w:rPr>
          <w:rFonts w:ascii="Times New Roman" w:eastAsia="Times New Roman" w:hAnsi="Times New Roman" w:cs="Times New Roman"/>
          <w:bCs/>
          <w:sz w:val="20"/>
          <w:szCs w:val="20"/>
        </w:rPr>
        <w:t xml:space="preserve">In the case of Alton Sterling, </w:t>
      </w:r>
      <w:r>
        <w:rPr>
          <w:rFonts w:ascii="Times New Roman" w:eastAsia="Times New Roman" w:hAnsi="Times New Roman" w:cs="Times New Roman"/>
          <w:bCs/>
          <w:sz w:val="20"/>
          <w:szCs w:val="20"/>
        </w:rPr>
        <w:t>F</w:t>
      </w:r>
      <w:r w:rsidRPr="00F505C5">
        <w:rPr>
          <w:rFonts w:ascii="Times New Roman" w:eastAsia="Times New Roman" w:hAnsi="Times New Roman" w:cs="Times New Roman"/>
          <w:bCs/>
          <w:sz w:val="20"/>
          <w:szCs w:val="20"/>
        </w:rPr>
        <w:t xml:space="preserve">ederal authorities investigated and found insufficient evidence to file </w:t>
      </w:r>
      <w:r>
        <w:rPr>
          <w:rFonts w:ascii="Times New Roman" w:eastAsia="Times New Roman" w:hAnsi="Times New Roman" w:cs="Times New Roman"/>
          <w:bCs/>
          <w:sz w:val="20"/>
          <w:szCs w:val="20"/>
        </w:rPr>
        <w:t>F</w:t>
      </w:r>
      <w:r w:rsidRPr="00F505C5">
        <w:rPr>
          <w:rFonts w:ascii="Times New Roman" w:eastAsia="Times New Roman" w:hAnsi="Times New Roman" w:cs="Times New Roman"/>
          <w:bCs/>
          <w:sz w:val="20"/>
          <w:szCs w:val="20"/>
        </w:rPr>
        <w:t>ederal civil rights charges. Thereafter, the Attorney General of Louisiana announced that the state would open an investigation into the shooting. The Louisiana Attorney General also found that insufficient evidence to warrant criminal charges a</w:t>
      </w:r>
      <w:r w:rsidRPr="00F9173B">
        <w:rPr>
          <w:rFonts w:ascii="Times New Roman" w:eastAsia="Times New Roman" w:hAnsi="Times New Roman" w:cs="Times New Roman"/>
          <w:bCs/>
          <w:sz w:val="20"/>
          <w:szCs w:val="20"/>
        </w:rPr>
        <w:t xml:space="preserve">gainst the police officers. The officer who shot Alton Sterling was subsequently terminated from the police department, and another officer involved was disciplined by the department. </w:t>
      </w:r>
    </w:p>
    <w:p w14:paraId="7C95A361" w14:textId="77777777" w:rsidR="00230276" w:rsidRPr="00702FEF"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702FEF">
        <w:rPr>
          <w:rFonts w:ascii="Times New Roman" w:eastAsia="Times New Roman" w:hAnsi="Times New Roman" w:cs="Times New Roman"/>
          <w:bCs/>
          <w:sz w:val="20"/>
          <w:szCs w:val="20"/>
        </w:rPr>
        <w:t xml:space="preserve">In the case of Samuel DuBose, the University police officer was charged with murder and voluntary manslaughter and was fired from the police department. A November 2016 trial ended in a mistrial with a deadlocked jury, and a retrial in May 2017 also ended without jury agreement. The charges were eventually dismissed with prejudice. The University reached a $5.3 million settlement with the DuBose family, including free undergraduate education for DuBose’s 13 children.  </w:t>
      </w:r>
    </w:p>
    <w:p w14:paraId="13A9BCB2" w14:textId="77777777" w:rsidR="00230276" w:rsidRPr="00702FEF"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702FEF">
        <w:rPr>
          <w:rFonts w:ascii="Times New Roman" w:eastAsia="Times New Roman" w:hAnsi="Times New Roman" w:cs="Times New Roman"/>
          <w:bCs/>
          <w:sz w:val="20"/>
          <w:szCs w:val="20"/>
        </w:rPr>
        <w:t xml:space="preserve">In the case of Sandra Bland, the arresting officer was indicted for perjury for making false statements concerning the arrest and was fired from his job. The perjury charge was eventually dropped for his agreement to end his law enforcement career. A grand jury declined to indict the county sheriff and jail staff for a felony relating to Bland’s death. In September 2016, Bland’s mother settled a wrongful death case against the county jail and police department for $1.9 million and some changes in procedure. </w:t>
      </w:r>
    </w:p>
    <w:p w14:paraId="71B8C743" w14:textId="77777777" w:rsidR="00230276" w:rsidRPr="00702FEF"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702FEF">
        <w:rPr>
          <w:rFonts w:ascii="Times New Roman" w:eastAsia="Times New Roman" w:hAnsi="Times New Roman" w:cs="Times New Roman"/>
          <w:bCs/>
          <w:sz w:val="20"/>
          <w:szCs w:val="20"/>
        </w:rPr>
        <w:t xml:space="preserve">In the case of Freddie Carlos Gray, the Baltimore State’s Attorney’s Office filed charges against six police offers. One case ended in a mistrial, three officers were found not guilty in their trials, and the charges of the remaining officers were dropped. It was later announced that non-criminal internal disciplinary proceedings would take place for the officers before a three-person panel chaired by an officer from another Maryland police agency. Two of the officers involved accepted voluntary disciplinary action, two other officers were acquitted of administrative charges by police trial boards, and thereafter the police commissioner dismissed administrative charges against the remaining officer involved. After extensive review at the </w:t>
      </w:r>
      <w:r>
        <w:rPr>
          <w:rFonts w:ascii="Times New Roman" w:eastAsia="Times New Roman" w:hAnsi="Times New Roman" w:cs="Times New Roman"/>
          <w:bCs/>
          <w:sz w:val="20"/>
          <w:szCs w:val="20"/>
        </w:rPr>
        <w:t>F</w:t>
      </w:r>
      <w:r w:rsidRPr="00702FEF">
        <w:rPr>
          <w:rFonts w:ascii="Times New Roman" w:eastAsia="Times New Roman" w:hAnsi="Times New Roman" w:cs="Times New Roman"/>
          <w:bCs/>
          <w:sz w:val="20"/>
          <w:szCs w:val="20"/>
        </w:rPr>
        <w:t xml:space="preserve">ederal level, DOJ announced that it would not </w:t>
      </w:r>
      <w:r w:rsidRPr="00702FEF">
        <w:rPr>
          <w:rFonts w:ascii="Times New Roman" w:eastAsia="Times New Roman" w:hAnsi="Times New Roman" w:cs="Times New Roman"/>
          <w:bCs/>
          <w:sz w:val="20"/>
          <w:szCs w:val="20"/>
        </w:rPr>
        <w:lastRenderedPageBreak/>
        <w:t xml:space="preserve">bring </w:t>
      </w:r>
      <w:r>
        <w:rPr>
          <w:rFonts w:ascii="Times New Roman" w:eastAsia="Times New Roman" w:hAnsi="Times New Roman" w:cs="Times New Roman"/>
          <w:bCs/>
          <w:sz w:val="20"/>
          <w:szCs w:val="20"/>
        </w:rPr>
        <w:t>F</w:t>
      </w:r>
      <w:r w:rsidRPr="00702FEF">
        <w:rPr>
          <w:rFonts w:ascii="Times New Roman" w:eastAsia="Times New Roman" w:hAnsi="Times New Roman" w:cs="Times New Roman"/>
          <w:bCs/>
          <w:sz w:val="20"/>
          <w:szCs w:val="20"/>
        </w:rPr>
        <w:t xml:space="preserve">ederal charges, as evidence was insufficient to show that the officers willfully violated Gray’s civil rights. </w:t>
      </w:r>
    </w:p>
    <w:p w14:paraId="58C143EF" w14:textId="77777777" w:rsidR="00230276" w:rsidRPr="000B126E"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702FEF">
        <w:rPr>
          <w:rFonts w:ascii="Times New Roman" w:eastAsia="Times New Roman" w:hAnsi="Times New Roman" w:cs="Times New Roman"/>
          <w:bCs/>
          <w:sz w:val="20"/>
          <w:szCs w:val="20"/>
        </w:rPr>
        <w:t>In the case of Walter L. Scott, investigations were conducted by the South Carolina Law Enforcement Division, the FBI, the Office of the U.S. Attorney for the District of South Carolina, and the DOJ</w:t>
      </w:r>
      <w:r>
        <w:rPr>
          <w:rFonts w:ascii="Times New Roman" w:eastAsia="Times New Roman" w:hAnsi="Times New Roman" w:cs="Times New Roman"/>
          <w:bCs/>
          <w:sz w:val="20"/>
          <w:szCs w:val="20"/>
        </w:rPr>
        <w:t xml:space="preserve"> </w:t>
      </w:r>
      <w:r w:rsidRPr="00702FEF">
        <w:rPr>
          <w:rFonts w:ascii="Times New Roman" w:eastAsia="Times New Roman" w:hAnsi="Times New Roman" w:cs="Times New Roman"/>
          <w:bCs/>
          <w:sz w:val="20"/>
          <w:szCs w:val="20"/>
        </w:rPr>
        <w:t>CRD</w:t>
      </w:r>
      <w:r w:rsidRPr="000B126E">
        <w:rPr>
          <w:rFonts w:ascii="Times New Roman" w:eastAsia="Times New Roman" w:hAnsi="Times New Roman" w:cs="Times New Roman"/>
          <w:bCs/>
          <w:sz w:val="20"/>
          <w:szCs w:val="20"/>
        </w:rPr>
        <w:t xml:space="preserve">. In June 2015, a South Carolina grand jury indicted the officer involved for murder, but his 2016 trial ended in a mistrial because the jury could not reach agreement. In May 2016, the officer was indicted on </w:t>
      </w:r>
      <w:r>
        <w:rPr>
          <w:rFonts w:ascii="Times New Roman" w:eastAsia="Times New Roman" w:hAnsi="Times New Roman" w:cs="Times New Roman"/>
          <w:bCs/>
          <w:sz w:val="20"/>
          <w:szCs w:val="20"/>
        </w:rPr>
        <w:t>F</w:t>
      </w:r>
      <w:r w:rsidRPr="000B126E">
        <w:rPr>
          <w:rFonts w:ascii="Times New Roman" w:eastAsia="Times New Roman" w:hAnsi="Times New Roman" w:cs="Times New Roman"/>
          <w:bCs/>
          <w:sz w:val="20"/>
          <w:szCs w:val="20"/>
        </w:rPr>
        <w:t xml:space="preserve">ederal charges, including violation of civil rights and obstruction of justice. In May 2017, he pleaded guilty to the </w:t>
      </w:r>
      <w:r>
        <w:rPr>
          <w:rFonts w:ascii="Times New Roman" w:eastAsia="Times New Roman" w:hAnsi="Times New Roman" w:cs="Times New Roman"/>
          <w:bCs/>
          <w:sz w:val="20"/>
          <w:szCs w:val="20"/>
        </w:rPr>
        <w:t>F</w:t>
      </w:r>
      <w:r w:rsidRPr="000B126E">
        <w:rPr>
          <w:rFonts w:ascii="Times New Roman" w:eastAsia="Times New Roman" w:hAnsi="Times New Roman" w:cs="Times New Roman"/>
          <w:bCs/>
          <w:sz w:val="20"/>
          <w:szCs w:val="20"/>
        </w:rPr>
        <w:t xml:space="preserve">ederal charges and was sentenced to 20 years in prison. Based on his guilty plea and </w:t>
      </w:r>
      <w:r>
        <w:rPr>
          <w:rFonts w:ascii="Times New Roman" w:eastAsia="Times New Roman" w:hAnsi="Times New Roman" w:cs="Times New Roman"/>
          <w:bCs/>
          <w:sz w:val="20"/>
          <w:szCs w:val="20"/>
        </w:rPr>
        <w:t>Fe</w:t>
      </w:r>
      <w:r w:rsidRPr="000B126E">
        <w:rPr>
          <w:rFonts w:ascii="Times New Roman" w:eastAsia="Times New Roman" w:hAnsi="Times New Roman" w:cs="Times New Roman"/>
          <w:bCs/>
          <w:sz w:val="20"/>
          <w:szCs w:val="20"/>
        </w:rPr>
        <w:t xml:space="preserve">deral sentence, the state murder charges were dropped.  </w:t>
      </w:r>
    </w:p>
    <w:p w14:paraId="09580590" w14:textId="77777777" w:rsidR="00230276" w:rsidRPr="000B126E"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0B126E">
        <w:rPr>
          <w:rFonts w:ascii="Times New Roman" w:eastAsia="Times New Roman" w:hAnsi="Times New Roman" w:cs="Times New Roman"/>
          <w:bCs/>
          <w:sz w:val="20"/>
          <w:szCs w:val="20"/>
        </w:rPr>
        <w:t>In the case of Antonio Zambrano-Montes, Franklin County prosecutors investigated and found no basis under state law to bring criminal charges against the officers involved. The FBI, the U.S. Attorney’s Office, and DOJ</w:t>
      </w:r>
      <w:r>
        <w:rPr>
          <w:rFonts w:ascii="Times New Roman" w:eastAsia="Times New Roman" w:hAnsi="Times New Roman" w:cs="Times New Roman"/>
          <w:bCs/>
          <w:sz w:val="20"/>
          <w:szCs w:val="20"/>
        </w:rPr>
        <w:t xml:space="preserve"> </w:t>
      </w:r>
      <w:r w:rsidRPr="000B126E">
        <w:rPr>
          <w:rFonts w:ascii="Times New Roman" w:eastAsia="Times New Roman" w:hAnsi="Times New Roman" w:cs="Times New Roman"/>
          <w:bCs/>
          <w:sz w:val="20"/>
          <w:szCs w:val="20"/>
        </w:rPr>
        <w:t xml:space="preserve">CRD also conducted independent reviews to determine whether any </w:t>
      </w:r>
      <w:r>
        <w:rPr>
          <w:rFonts w:ascii="Times New Roman" w:eastAsia="Times New Roman" w:hAnsi="Times New Roman" w:cs="Times New Roman"/>
          <w:bCs/>
          <w:sz w:val="20"/>
          <w:szCs w:val="20"/>
        </w:rPr>
        <w:t>F</w:t>
      </w:r>
      <w:r w:rsidRPr="000B126E">
        <w:rPr>
          <w:rFonts w:ascii="Times New Roman" w:eastAsia="Times New Roman" w:hAnsi="Times New Roman" w:cs="Times New Roman"/>
          <w:bCs/>
          <w:sz w:val="20"/>
          <w:szCs w:val="20"/>
        </w:rPr>
        <w:t xml:space="preserve">ederal laws were broken but found the evidence insufficient to prove, beyond a reasonable doubt, that the officers had acted with the requisite criminal intent. A settlement agreement in a </w:t>
      </w:r>
      <w:r>
        <w:rPr>
          <w:rFonts w:ascii="Times New Roman" w:eastAsia="Times New Roman" w:hAnsi="Times New Roman" w:cs="Times New Roman"/>
          <w:bCs/>
          <w:sz w:val="20"/>
          <w:szCs w:val="20"/>
        </w:rPr>
        <w:t>F</w:t>
      </w:r>
      <w:r w:rsidRPr="000B126E">
        <w:rPr>
          <w:rFonts w:ascii="Times New Roman" w:eastAsia="Times New Roman" w:hAnsi="Times New Roman" w:cs="Times New Roman"/>
          <w:bCs/>
          <w:sz w:val="20"/>
          <w:szCs w:val="20"/>
        </w:rPr>
        <w:t xml:space="preserve">ederal civil lawsuit provided $750,000 for the family.   </w:t>
      </w:r>
    </w:p>
    <w:p w14:paraId="10DA21B5" w14:textId="77777777" w:rsidR="00230276" w:rsidRPr="00FE1F2A"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0B126E">
        <w:rPr>
          <w:rFonts w:ascii="Times New Roman" w:eastAsia="Times New Roman" w:hAnsi="Times New Roman" w:cs="Times New Roman"/>
          <w:bCs/>
          <w:sz w:val="20"/>
          <w:szCs w:val="20"/>
        </w:rPr>
        <w:t>The case of Tamir Rice was investigated by the county sheriff’s office. A grand jury declined to indict the officers involved primarily on the basis that Rice was drawing what appeared to be an actual firearm as the police arrived. In late 2020,</w:t>
      </w:r>
      <w:r w:rsidRPr="00FE1F2A">
        <w:rPr>
          <w:rFonts w:ascii="Times New Roman" w:eastAsia="Times New Roman" w:hAnsi="Times New Roman" w:cs="Times New Roman"/>
          <w:bCs/>
          <w:sz w:val="20"/>
          <w:szCs w:val="20"/>
        </w:rPr>
        <w:t xml:space="preserve"> DOJ also declined to file </w:t>
      </w:r>
      <w:r>
        <w:rPr>
          <w:rFonts w:ascii="Times New Roman" w:eastAsia="Times New Roman" w:hAnsi="Times New Roman" w:cs="Times New Roman"/>
          <w:bCs/>
          <w:sz w:val="20"/>
          <w:szCs w:val="20"/>
        </w:rPr>
        <w:t>F</w:t>
      </w:r>
      <w:r w:rsidRPr="00FE1F2A">
        <w:rPr>
          <w:rFonts w:ascii="Times New Roman" w:eastAsia="Times New Roman" w:hAnsi="Times New Roman" w:cs="Times New Roman"/>
          <w:bCs/>
          <w:sz w:val="20"/>
          <w:szCs w:val="20"/>
        </w:rPr>
        <w:t xml:space="preserve">ederal charges. A lawsuit brought against the City of Cleveland by Rice’s family was settled for $6 million. One of the officers involved was later fired for having withheld information on his application concerning his fitness for duty. </w:t>
      </w:r>
    </w:p>
    <w:p w14:paraId="1B4BDFAB" w14:textId="77777777" w:rsidR="00230276" w:rsidRPr="00FE1F2A"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FE1F2A">
        <w:rPr>
          <w:rFonts w:ascii="Times New Roman" w:eastAsia="Times New Roman" w:hAnsi="Times New Roman" w:cs="Times New Roman"/>
          <w:bCs/>
          <w:sz w:val="20"/>
          <w:szCs w:val="20"/>
        </w:rPr>
        <w:t xml:space="preserve">In the case of Michael Brown, St. Louis County investigated and presented evidence to a grand jury. The grand jury, however, found insufficient evidence to indict the officer involved. DOJ also investigated the case for civil rights violations but found the evidence insufficient to prove, beyond a reasonable doubt, that the officer had acted with the requisite criminal intent. </w:t>
      </w:r>
    </w:p>
    <w:p w14:paraId="48D05E77" w14:textId="77777777" w:rsidR="00230276" w:rsidRPr="00FE1F2A"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FE1F2A">
        <w:rPr>
          <w:rFonts w:ascii="Times New Roman" w:eastAsia="Times New Roman" w:hAnsi="Times New Roman" w:cs="Times New Roman"/>
          <w:bCs/>
          <w:sz w:val="20"/>
          <w:szCs w:val="20"/>
        </w:rPr>
        <w:t xml:space="preserve">In the case of Juan May, an investigation by the Internal Affairs Unit of the Arlington City Police Department determined that the off-duty officer had not violated law or policy.  </w:t>
      </w:r>
    </w:p>
    <w:p w14:paraId="7CC4CFAC" w14:textId="77777777" w:rsidR="00230276" w:rsidRPr="00FE1F2A" w:rsidRDefault="00230276" w:rsidP="00230276">
      <w:pPr>
        <w:pStyle w:val="ListParagraph"/>
        <w:numPr>
          <w:ilvl w:val="0"/>
          <w:numId w:val="1"/>
        </w:numPr>
        <w:spacing w:before="240" w:after="240" w:line="360" w:lineRule="auto"/>
        <w:ind w:left="1440" w:hanging="720"/>
        <w:rPr>
          <w:rFonts w:ascii="Times New Roman" w:eastAsia="Times New Roman" w:hAnsi="Times New Roman" w:cs="Times New Roman"/>
          <w:bCs/>
          <w:sz w:val="20"/>
          <w:szCs w:val="20"/>
        </w:rPr>
      </w:pPr>
      <w:r w:rsidRPr="00FE1F2A">
        <w:rPr>
          <w:rFonts w:ascii="Times New Roman" w:eastAsia="Times New Roman" w:hAnsi="Times New Roman" w:cs="Times New Roman"/>
          <w:bCs/>
          <w:sz w:val="20"/>
          <w:szCs w:val="20"/>
        </w:rPr>
        <w:t xml:space="preserve">In the case of Clinton Allen, based on an investigation conducted by prosecutors, a Dallas County grand jury determined that there was insufficient evidence to indict the officer involved. </w:t>
      </w:r>
    </w:p>
    <w:p w14:paraId="4AA4E3DB" w14:textId="77777777" w:rsidR="005665ED" w:rsidRPr="005665ED" w:rsidRDefault="005665ED" w:rsidP="00230276">
      <w:pPr>
        <w:spacing w:line="360" w:lineRule="auto"/>
        <w:ind w:left="900" w:hanging="900"/>
        <w:jc w:val="center"/>
        <w:rPr>
          <w:rFonts w:ascii="Times New Roman" w:hAnsi="Times New Roman"/>
        </w:rPr>
      </w:pPr>
    </w:p>
    <w:sectPr w:rsidR="005665ED" w:rsidRPr="005665ED" w:rsidSect="00332DD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3E594" w14:textId="77777777" w:rsidR="00DD713A" w:rsidRDefault="00DD713A" w:rsidP="00DD713A">
      <w:r>
        <w:separator/>
      </w:r>
    </w:p>
  </w:endnote>
  <w:endnote w:type="continuationSeparator" w:id="0">
    <w:p w14:paraId="2C633910" w14:textId="77777777" w:rsidR="00DD713A" w:rsidRDefault="00DD713A" w:rsidP="00DD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000000000000000"/>
    <w:charset w:val="4D"/>
    <w:family w:val="roman"/>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B1C2" w14:textId="77777777" w:rsidR="00DD713A" w:rsidRDefault="00DD713A" w:rsidP="00DD713A">
      <w:r>
        <w:separator/>
      </w:r>
    </w:p>
  </w:footnote>
  <w:footnote w:type="continuationSeparator" w:id="0">
    <w:p w14:paraId="76D38752" w14:textId="77777777" w:rsidR="00DD713A" w:rsidRDefault="00DD713A" w:rsidP="00DD7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B71F8"/>
    <w:multiLevelType w:val="hybridMultilevel"/>
    <w:tmpl w:val="340E83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ED"/>
    <w:rsid w:val="00102AE9"/>
    <w:rsid w:val="00230276"/>
    <w:rsid w:val="00332DDF"/>
    <w:rsid w:val="004D217D"/>
    <w:rsid w:val="005665ED"/>
    <w:rsid w:val="006B4E3F"/>
    <w:rsid w:val="00894320"/>
    <w:rsid w:val="00A42D9B"/>
    <w:rsid w:val="00B41798"/>
    <w:rsid w:val="00BE08D7"/>
    <w:rsid w:val="00C62846"/>
    <w:rsid w:val="00D1555F"/>
    <w:rsid w:val="00DD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68E0B8E"/>
  <w14:defaultImageDpi w14:val="300"/>
  <w15:docId w15:val="{1DF09893-673C-4961-ACA6-E8C9A6DC3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65ED"/>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5665ED"/>
    <w:rPr>
      <w:b/>
      <w:bCs/>
    </w:rPr>
  </w:style>
  <w:style w:type="character" w:styleId="CommentReference">
    <w:name w:val="annotation reference"/>
    <w:basedOn w:val="DefaultParagraphFont"/>
    <w:uiPriority w:val="99"/>
    <w:semiHidden/>
    <w:unhideWhenUsed/>
    <w:rsid w:val="005665ED"/>
    <w:rPr>
      <w:sz w:val="18"/>
      <w:szCs w:val="18"/>
    </w:rPr>
  </w:style>
  <w:style w:type="paragraph" w:styleId="CommentText">
    <w:name w:val="annotation text"/>
    <w:basedOn w:val="Normal"/>
    <w:link w:val="CommentTextChar"/>
    <w:uiPriority w:val="99"/>
    <w:semiHidden/>
    <w:unhideWhenUsed/>
    <w:rsid w:val="005665ED"/>
  </w:style>
  <w:style w:type="character" w:customStyle="1" w:styleId="CommentTextChar">
    <w:name w:val="Comment Text Char"/>
    <w:basedOn w:val="DefaultParagraphFont"/>
    <w:link w:val="CommentText"/>
    <w:uiPriority w:val="99"/>
    <w:semiHidden/>
    <w:rsid w:val="005665ED"/>
  </w:style>
  <w:style w:type="paragraph" w:styleId="CommentSubject">
    <w:name w:val="annotation subject"/>
    <w:basedOn w:val="CommentText"/>
    <w:next w:val="CommentText"/>
    <w:link w:val="CommentSubjectChar"/>
    <w:uiPriority w:val="99"/>
    <w:semiHidden/>
    <w:unhideWhenUsed/>
    <w:rsid w:val="005665ED"/>
    <w:rPr>
      <w:b/>
      <w:bCs/>
      <w:sz w:val="20"/>
      <w:szCs w:val="20"/>
    </w:rPr>
  </w:style>
  <w:style w:type="character" w:customStyle="1" w:styleId="CommentSubjectChar">
    <w:name w:val="Comment Subject Char"/>
    <w:basedOn w:val="CommentTextChar"/>
    <w:link w:val="CommentSubject"/>
    <w:uiPriority w:val="99"/>
    <w:semiHidden/>
    <w:rsid w:val="005665ED"/>
    <w:rPr>
      <w:b/>
      <w:bCs/>
      <w:sz w:val="20"/>
      <w:szCs w:val="20"/>
    </w:rPr>
  </w:style>
  <w:style w:type="paragraph" w:styleId="BalloonText">
    <w:name w:val="Balloon Text"/>
    <w:basedOn w:val="Normal"/>
    <w:link w:val="BalloonTextChar"/>
    <w:uiPriority w:val="99"/>
    <w:semiHidden/>
    <w:unhideWhenUsed/>
    <w:rsid w:val="005665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65ED"/>
    <w:rPr>
      <w:rFonts w:ascii="Lucida Grande" w:hAnsi="Lucida Grande" w:cs="Lucida Grande"/>
      <w:sz w:val="18"/>
      <w:szCs w:val="18"/>
    </w:rPr>
  </w:style>
  <w:style w:type="paragraph" w:styleId="ListParagraph">
    <w:name w:val="List Paragraph"/>
    <w:aliases w:val="Issue Action POC,List Paragraph1,3,POCG Table Text,Dot pt,F5 List Paragraph,List Paragraph Char Char Char,Indicator Text,Colorful List - Accent 11,Numbered Para 1,Bullet 1,Bullet Points,List Paragraph2,MAIN CONTENT,Normal numbered,Bullet"/>
    <w:basedOn w:val="Normal"/>
    <w:link w:val="ListParagraphChar"/>
    <w:uiPriority w:val="34"/>
    <w:qFormat/>
    <w:rsid w:val="00230276"/>
    <w:pPr>
      <w:ind w:left="720"/>
      <w:contextualSpacing/>
    </w:p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1 Char"/>
    <w:link w:val="ListParagraph"/>
    <w:uiPriority w:val="34"/>
    <w:locked/>
    <w:rsid w:val="00230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7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Bethary  West</dc:creator>
  <cp:keywords/>
  <dc:description/>
  <cp:lastModifiedBy>Bestafka-Cruz, Anthony S</cp:lastModifiedBy>
  <cp:revision>3</cp:revision>
  <dcterms:created xsi:type="dcterms:W3CDTF">2021-09-22T20:59:00Z</dcterms:created>
  <dcterms:modified xsi:type="dcterms:W3CDTF">2021-09-22T21:01:00Z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2021-09-22T20:55:41Z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57b601a4-994a-44f7-a256-0c78b217ca5b</vt:lpwstr>
  </property>
  <property fmtid="{D5CDD505-2E9C-101B-9397-08002B2CF9AE}" pid="8" name="MSIP_Label_1665d9ee-429a-4d5f-97cc-cfb56e044a6e_ContentBits">
    <vt:lpwstr>0</vt:lpwstr>
  </property>
</Properties>
</file>